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5E" w:rsidRPr="009A5497" w:rsidRDefault="003875EB" w:rsidP="008D62B2">
      <w:pPr>
        <w:pStyle w:val="Title"/>
        <w:spacing w:after="24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r w:rsidRPr="009A5497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1</w:t>
      </w:r>
      <w:r w:rsidRPr="009A5497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val="en-US"/>
        </w:rPr>
        <w:t>st</w:t>
      </w:r>
      <w:r w:rsidRPr="009A5497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SUNDAY OF GREAT LENT – SUNDAY OF ORTHODOXY</w:t>
      </w:r>
    </w:p>
    <w:p w:rsidR="00DB30E0" w:rsidRPr="009A5497" w:rsidRDefault="00DB30E0" w:rsidP="00B6663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5497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APOSTL</w:t>
      </w:r>
      <w:r w:rsidR="003875EB" w:rsidRPr="009A5497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E</w:t>
      </w:r>
      <w:r w:rsidRPr="009A5497">
        <w:rPr>
          <w:rFonts w:ascii="Segoe Print" w:eastAsia="Times New Roman" w:hAnsi="Segoe Print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3875EB"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Heb.</w:t>
      </w:r>
      <w:r w:rsidR="00CC14C6"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11:24-26; 32-40</w:t>
      </w:r>
      <w:r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C14C6" w:rsidRPr="009A5497" w:rsidRDefault="003875EB" w:rsidP="003875EB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By faith Moses, when he became of age, refused to be called the son of Pharaoh’s daughter,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choosing rather to suffer affliction with the people of God than to enjoy the passing pleasures of sin,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esteeming the reproach of Christ greater riches than the treasures in Egypt; for he looked to the reward.</w:t>
      </w:r>
    </w:p>
    <w:p w:rsidR="00EC08E8" w:rsidRPr="009A5497" w:rsidRDefault="003875EB" w:rsidP="003875EB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And what more shall I say?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 the time would fail me to tell of Gideon and Barak and Samson and Jephthah, also of David and Samuel and the prophets: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who through faith subdued kingdoms, worked righteousness, obtained promises, stopped the mouths of lions,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quenched the violence of fire, escaped the edge of the sword, out of weakness were made strong, became valiant in battle, turned to </w:t>
      </w:r>
      <w:proofErr w:type="spellStart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flight</w:t>
      </w:r>
      <w:proofErr w:type="spellEnd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armies of the aliens.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Women received their dead raised to life again.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Others were tortured, not accepting deliverance, that they might obtain a better resurrection.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Still others had trial of </w:t>
      </w:r>
      <w:proofErr w:type="spellStart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mockings</w:t>
      </w:r>
      <w:proofErr w:type="spellEnd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scourgings</w:t>
      </w:r>
      <w:proofErr w:type="spellEnd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yes, and of chains and imprisonment.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They were stoned, they were sawn in two, were tempted, </w:t>
      </w:r>
      <w:proofErr w:type="gramStart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were</w:t>
      </w:r>
      <w:proofErr w:type="gramEnd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slain with the sword.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They wandered about in sheepskins and goatskins, being destitute, afflicted, tormented –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of whom the world was not worthy.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They wandered in deserts and mountains, in dens and caves of the earth.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 all these, having obtained a good testimony through faith, did not receive the promise,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God having provided something better for us, that they should not be made perfect apart from us.</w:t>
      </w:r>
    </w:p>
    <w:p w:rsidR="00DB30E0" w:rsidRPr="009A5497" w:rsidRDefault="003875EB" w:rsidP="00B6663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5497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GOSPEL</w:t>
      </w:r>
      <w:r w:rsidR="00DB30E0"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John</w:t>
      </w:r>
      <w:r w:rsidR="00CC14C6"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1:43-51</w:t>
      </w:r>
      <w:r w:rsidR="00DB30E0" w:rsidRPr="009A54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C08E8" w:rsidRPr="009A5497" w:rsidRDefault="003875EB" w:rsidP="003875EB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following day Jesus wanted to go to Galilee, and He found Philip and said to him, “Follow Me.”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Now Philip was from Bethsaida, the city of Andrew and Peter.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Philip found Nathanael and said to him, “We have found Him of whom Moses in the law, and also the prophets, wrote – Jesus of Nazareth, the son of Joseph.”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And Nathanael said to him, “Can anything good come out of Nazareth?”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Philip said to him, “Come and see.”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Jesus saw Nathanael coming toward Him, and said of him, “Behold, an Israelite indeed, in whom is no deceit!”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Nathanael said to Him, “How do </w:t>
      </w:r>
      <w:proofErr w:type="gramStart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You</w:t>
      </w:r>
      <w:proofErr w:type="gramEnd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know me?”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Jesus answered and said to him, “Before Philip called you, when you were under the fig tree, I saw you.”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Nathanael answered and said to Him, “Rabbi, You are the Son of God!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You are the King of Israel!”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Jesus answered and said to him, “Because I said to you, ‘I saw you under the fig tree,’ do you believe?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You will see greater things than these.”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And He said to him, “Most assuredly, I say to you, hereafter you shall see heaven </w:t>
      </w:r>
      <w:proofErr w:type="gramStart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open,</w:t>
      </w:r>
      <w:proofErr w:type="gramEnd"/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the angels of God ascending and descending upon the Son of Man.”</w:t>
      </w:r>
    </w:p>
    <w:p w:rsidR="00DB30E0" w:rsidRPr="009A5497" w:rsidRDefault="003875EB" w:rsidP="00B66634">
      <w:pPr>
        <w:autoSpaceDE w:val="0"/>
        <w:snapToGrid w:val="0"/>
        <w:spacing w:after="60"/>
        <w:jc w:val="both"/>
        <w:rPr>
          <w:rFonts w:ascii="Segoe Print" w:eastAsia="Times New Roman" w:hAnsi="Segoe Print" w:cs="Times New Roman"/>
          <w:bCs/>
          <w:sz w:val="24"/>
          <w:szCs w:val="24"/>
          <w:lang w:val="en-US"/>
        </w:rPr>
      </w:pPr>
      <w:r w:rsidRPr="009A5497">
        <w:rPr>
          <w:rFonts w:ascii="Segoe Print" w:eastAsia="Times New Roman" w:hAnsi="Segoe Print" w:cs="Times New Roman"/>
          <w:bCs/>
          <w:sz w:val="24"/>
          <w:szCs w:val="24"/>
          <w:lang w:val="en-US"/>
        </w:rPr>
        <w:t>MORAL TEACHINGS</w:t>
      </w:r>
    </w:p>
    <w:p w:rsidR="00123B54" w:rsidRPr="009A5497" w:rsidRDefault="009A5497" w:rsidP="00123B5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When Philip found Messiah (meaning true faith, the fulfillment of his quest), he ran to tell his friend Nathanael.  Nathanael received the news with 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kepticism and asked cynically: “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 anything good come out of Nazareth?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Nazareth was 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insignificant village with a bad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reputation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Today's cynicism is the same: people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often question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what is the value of going 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hurch,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receiving the Holy Mysteries or even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doubt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Christianity itself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 anything good come from them?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ilip, however, does not answer his friend with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explanations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proofs.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He doesn’t say: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Nazare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is not so bad,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nor,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Well, I heard Jesus say this and do that, and therefore I believe He is Christ.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Instead of talking to Nathanael, he simply says: 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Come and see!</w:t>
      </w:r>
      <w:r w:rsid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</w:p>
    <w:p w:rsidR="00123B54" w:rsidRPr="009A5497" w:rsidRDefault="008925DA" w:rsidP="00123B5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“Come and see</w:t>
      </w:r>
      <w:r w:rsidR="00123B54"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!”  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This brief invitation from Philip will have an untold ramification in Nathanael's life.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Philip could have said: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Okay, if that's how he feels, I won't bother him anymore.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But Philip had made this invitation because his joy and enthusiasm at having found the Messiah would not let him simply pass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by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His joy pushes him to extend this invitation to his friend.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92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is a model for us and our Orthodox faith.</w:t>
      </w:r>
    </w:p>
    <w:p w:rsidR="00123B54" w:rsidRPr="009A5497" w:rsidRDefault="00131BA6" w:rsidP="00123B5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Whether we are Orthodox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by birth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converted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we are all called to continually convert, to continually rediscover Orthodoxy and to continually undergo a change of heart before God.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Our Orthodox faith must be alive, which means always new, always fresh, always growing in our hearts and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our 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lives.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is where the joy comes from, </w:t>
      </w:r>
      <w:r w:rsidR="00DE4F5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like Philip, </w:t>
      </w:r>
      <w:r w:rsidR="00DE4F5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joy 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must make us say to those whom God has brought into our lives: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131B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Come and see!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</w:p>
    <w:p w:rsidR="00123B54" w:rsidRPr="009A5497" w:rsidRDefault="008F522E" w:rsidP="008F522E">
      <w:pPr>
        <w:autoSpaceDE w:val="0"/>
        <w:snapToGrid w:val="0"/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Man needs nothing to know God, except will.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As the Fathers say,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man must give will in order 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receive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power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power to know God is imprinted in the very divine image of man, as a person able to enter into communion and dependent on other people like himself.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daily life of each </w:t>
      </w:r>
      <w:r w:rsidR="00DE4F5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will lead him to the knowledge of God, to the extent of his </w:t>
      </w:r>
      <w:r w:rsidR="00BE16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willingness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to be open to God, communion and love.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Father </w:t>
      </w:r>
      <w:proofErr w:type="spellStart"/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Stăniloae</w:t>
      </w:r>
      <w:proofErr w:type="spellEnd"/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clearly says that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God is not known in a state of indifference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absolutely necessary condition for seeing the Divine Light is keeping the commandments of Christ.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If we leave our passions, hatreds, petty worries; if we desire God and life with Him with all our heart, according to the words of the Apostle Paul,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seek those things which are above, where Christ is, sitting at the right hand of God.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Set your mind on things above, not on things on the earth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(Col. 3:1-2), then we will undoubtedly be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found </w:t>
      </w:r>
      <w:r w:rsidRPr="008F52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worthy to see the glory from above.</w:t>
      </w:r>
    </w:p>
    <w:p w:rsidR="004B5587" w:rsidRPr="009A5497" w:rsidRDefault="007B4481" w:rsidP="00123B54">
      <w:pPr>
        <w:autoSpaceDE w:val="0"/>
        <w:snapToGrid w:val="0"/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According to the tradition of the Orthodox Church, the first Sunday of Great Lent is called the </w:t>
      </w:r>
      <w:r w:rsidRPr="007B44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Sunday of Orthodoxy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or the Triumph of Orthodoxy over the iconoclastic heresy.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For a better understanding, we must make a foray into the history of the Church (8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century), when certain Byzantine emperors, out of overzealousness or misinterpretation, launched a devastating persecution against icons, saying that the veneration of icons is worship to idols (idolatry), which was against the first two commandments of the Decalogue.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Although this controversy was resolved at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Ecumenical Council of Nicaea (787), the iconoclasts continued their ca</w:t>
      </w:r>
      <w:r w:rsidR="00D344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mpaign for another half century,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until 843, when a local Council was convened in Constantinople.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This Council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reaffirmed the decision of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Council of Nicaea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the icon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are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not worshiped, but venerated, and honor is not given to the material from which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icon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is made, but to the person who is </w:t>
      </w:r>
      <w:r w:rsidR="00E942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depicted</w:t>
      </w:r>
      <w:bookmarkStart w:id="0" w:name="_GoBack"/>
      <w:bookmarkEnd w:id="0"/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on it (the prototype).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On March 11, 843, during the reign of Empress Theodora and her son Michael III, together with monks and priests, </w:t>
      </w:r>
      <w:r w:rsidR="00D344F1"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Patriarch Methodius</w:t>
      </w:r>
      <w:r w:rsidR="00D344F1"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went in procession with the holy icons and restored their place and honor.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day was called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Triumph of Orthodoxy.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Since then, this event is commemorated every year on the first Sunday of Great Lent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with a special service.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4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By c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ontinuing this tradition, the Orthodox faithful are reminded that the icons adorn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churches and homes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are a source of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inspiration in their daily effort to follow </w:t>
      </w:r>
      <w:r w:rsidRPr="009A549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the footsteps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7B44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saints and become themselves living icons.</w:t>
      </w:r>
    </w:p>
    <w:sectPr w:rsidR="004B5587" w:rsidRPr="009A5497" w:rsidSect="005F3B63">
      <w:headerReference w:type="default" r:id="rId8"/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A0" w:rsidRDefault="00941CA0" w:rsidP="00DB30E0">
      <w:pPr>
        <w:spacing w:after="0" w:line="240" w:lineRule="auto"/>
      </w:pPr>
      <w:r>
        <w:separator/>
      </w:r>
    </w:p>
  </w:endnote>
  <w:endnote w:type="continuationSeparator" w:id="0">
    <w:p w:rsidR="00941CA0" w:rsidRDefault="00941CA0" w:rsidP="00DB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A0" w:rsidRDefault="00941CA0" w:rsidP="00DB30E0">
      <w:pPr>
        <w:spacing w:after="0" w:line="240" w:lineRule="auto"/>
      </w:pPr>
      <w:r>
        <w:separator/>
      </w:r>
    </w:p>
  </w:footnote>
  <w:footnote w:type="continuationSeparator" w:id="0">
    <w:p w:rsidR="00941CA0" w:rsidRDefault="00941CA0" w:rsidP="00DB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0E0" w:rsidRDefault="003875EB" w:rsidP="00DB30E0">
    <w:pPr>
      <w:pStyle w:val="Header"/>
      <w:jc w:val="center"/>
    </w:pPr>
    <w:r w:rsidRPr="003875EB">
      <w:t xml:space="preserve">Evangelical </w:t>
    </w:r>
    <w:proofErr w:type="spellStart"/>
    <w:r w:rsidRPr="003875EB">
      <w:t>pericopes</w:t>
    </w:r>
    <w:proofErr w:type="spellEnd"/>
    <w:r w:rsidRPr="003875EB">
      <w:t xml:space="preserve"> of the </w:t>
    </w:r>
    <w:proofErr w:type="spellStart"/>
    <w:r w:rsidRPr="003875EB">
      <w:t>Triodion</w:t>
    </w:r>
    <w:proofErr w:type="spellEnd"/>
  </w:p>
  <w:p w:rsidR="00DB30E0" w:rsidRDefault="00DB30E0" w:rsidP="00DB30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">
    <w:nsid w:val="03E478A6"/>
    <w:multiLevelType w:val="hybridMultilevel"/>
    <w:tmpl w:val="ADBA2634"/>
    <w:lvl w:ilvl="0" w:tplc="B8900002">
      <w:numFmt w:val="bullet"/>
      <w:lvlText w:val="-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32302"/>
    <w:multiLevelType w:val="hybridMultilevel"/>
    <w:tmpl w:val="5FCA5F5E"/>
    <w:lvl w:ilvl="0" w:tplc="CAFA81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D74B0A"/>
    <w:multiLevelType w:val="hybridMultilevel"/>
    <w:tmpl w:val="17CE9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13390"/>
    <w:multiLevelType w:val="hybridMultilevel"/>
    <w:tmpl w:val="9126CD92"/>
    <w:lvl w:ilvl="0" w:tplc="B89000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82E53"/>
    <w:multiLevelType w:val="hybridMultilevel"/>
    <w:tmpl w:val="A2760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BF4BF7"/>
    <w:multiLevelType w:val="hybridMultilevel"/>
    <w:tmpl w:val="6BAE6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83B09"/>
    <w:multiLevelType w:val="hybridMultilevel"/>
    <w:tmpl w:val="F3E2A456"/>
    <w:lvl w:ilvl="0" w:tplc="20165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3485"/>
    <w:multiLevelType w:val="hybridMultilevel"/>
    <w:tmpl w:val="796488FE"/>
    <w:lvl w:ilvl="0" w:tplc="15BAF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E250F"/>
    <w:multiLevelType w:val="hybridMultilevel"/>
    <w:tmpl w:val="5A7A7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541460"/>
    <w:multiLevelType w:val="hybridMultilevel"/>
    <w:tmpl w:val="D8F26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83FBB"/>
    <w:multiLevelType w:val="hybridMultilevel"/>
    <w:tmpl w:val="0ECAD4D2"/>
    <w:lvl w:ilvl="0" w:tplc="CAFA81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CD7EC3"/>
    <w:multiLevelType w:val="hybridMultilevel"/>
    <w:tmpl w:val="B6DEF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37537"/>
    <w:multiLevelType w:val="hybridMultilevel"/>
    <w:tmpl w:val="30604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7574E3"/>
    <w:multiLevelType w:val="hybridMultilevel"/>
    <w:tmpl w:val="7534E3AE"/>
    <w:lvl w:ilvl="0" w:tplc="45F2A23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4"/>
  </w:num>
  <w:num w:numId="10">
    <w:abstractNumId w:val="3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95E"/>
    <w:rsid w:val="00004019"/>
    <w:rsid w:val="000055CB"/>
    <w:rsid w:val="00061236"/>
    <w:rsid w:val="00094A02"/>
    <w:rsid w:val="000B1B96"/>
    <w:rsid w:val="000B44A5"/>
    <w:rsid w:val="000C65B6"/>
    <w:rsid w:val="00101CD4"/>
    <w:rsid w:val="00123B54"/>
    <w:rsid w:val="00126A23"/>
    <w:rsid w:val="00131BA6"/>
    <w:rsid w:val="001805A7"/>
    <w:rsid w:val="001818C6"/>
    <w:rsid w:val="0019049A"/>
    <w:rsid w:val="001B0B2C"/>
    <w:rsid w:val="001C3612"/>
    <w:rsid w:val="00252D33"/>
    <w:rsid w:val="00276927"/>
    <w:rsid w:val="002854EB"/>
    <w:rsid w:val="002921DE"/>
    <w:rsid w:val="002A4E0B"/>
    <w:rsid w:val="002B1588"/>
    <w:rsid w:val="003155A2"/>
    <w:rsid w:val="00316E75"/>
    <w:rsid w:val="00335D1B"/>
    <w:rsid w:val="00342BF7"/>
    <w:rsid w:val="00362000"/>
    <w:rsid w:val="003875EB"/>
    <w:rsid w:val="003A50C1"/>
    <w:rsid w:val="003B18A5"/>
    <w:rsid w:val="003B4C54"/>
    <w:rsid w:val="003B7173"/>
    <w:rsid w:val="0041565C"/>
    <w:rsid w:val="00480A28"/>
    <w:rsid w:val="00481B3D"/>
    <w:rsid w:val="004A16C8"/>
    <w:rsid w:val="004B5587"/>
    <w:rsid w:val="004D28A7"/>
    <w:rsid w:val="004E2F3D"/>
    <w:rsid w:val="005763AC"/>
    <w:rsid w:val="005766E7"/>
    <w:rsid w:val="005F3B63"/>
    <w:rsid w:val="00636155"/>
    <w:rsid w:val="00684BDD"/>
    <w:rsid w:val="006B3A3F"/>
    <w:rsid w:val="006C795E"/>
    <w:rsid w:val="006D1AF7"/>
    <w:rsid w:val="007109CD"/>
    <w:rsid w:val="00726B9B"/>
    <w:rsid w:val="007510C1"/>
    <w:rsid w:val="00761FFF"/>
    <w:rsid w:val="007B4481"/>
    <w:rsid w:val="007C323A"/>
    <w:rsid w:val="007D11C1"/>
    <w:rsid w:val="007F737A"/>
    <w:rsid w:val="00801E8B"/>
    <w:rsid w:val="008925DA"/>
    <w:rsid w:val="008B23BB"/>
    <w:rsid w:val="008D339E"/>
    <w:rsid w:val="008D60CA"/>
    <w:rsid w:val="008D62B2"/>
    <w:rsid w:val="008F522E"/>
    <w:rsid w:val="00907339"/>
    <w:rsid w:val="009206A6"/>
    <w:rsid w:val="00927F00"/>
    <w:rsid w:val="00941CA0"/>
    <w:rsid w:val="0097473D"/>
    <w:rsid w:val="009A4DFC"/>
    <w:rsid w:val="009A5497"/>
    <w:rsid w:val="009B1F9F"/>
    <w:rsid w:val="009E5095"/>
    <w:rsid w:val="009E7BB2"/>
    <w:rsid w:val="00A025E8"/>
    <w:rsid w:val="00A91777"/>
    <w:rsid w:val="00A9219B"/>
    <w:rsid w:val="00A940EE"/>
    <w:rsid w:val="00AB5B53"/>
    <w:rsid w:val="00AF7B8E"/>
    <w:rsid w:val="00B506FC"/>
    <w:rsid w:val="00B66634"/>
    <w:rsid w:val="00BA6D87"/>
    <w:rsid w:val="00BD49FD"/>
    <w:rsid w:val="00BE16EF"/>
    <w:rsid w:val="00BF5DCB"/>
    <w:rsid w:val="00C06CF8"/>
    <w:rsid w:val="00C17BDC"/>
    <w:rsid w:val="00C24548"/>
    <w:rsid w:val="00C7202F"/>
    <w:rsid w:val="00C7464E"/>
    <w:rsid w:val="00C9783A"/>
    <w:rsid w:val="00CB1699"/>
    <w:rsid w:val="00CB2EF2"/>
    <w:rsid w:val="00CC14C6"/>
    <w:rsid w:val="00D063B0"/>
    <w:rsid w:val="00D33DF9"/>
    <w:rsid w:val="00D344F1"/>
    <w:rsid w:val="00D3630A"/>
    <w:rsid w:val="00D50B4E"/>
    <w:rsid w:val="00D94A03"/>
    <w:rsid w:val="00DB30E0"/>
    <w:rsid w:val="00DE4F57"/>
    <w:rsid w:val="00E555B5"/>
    <w:rsid w:val="00E716B1"/>
    <w:rsid w:val="00E94240"/>
    <w:rsid w:val="00E96B5B"/>
    <w:rsid w:val="00E97163"/>
    <w:rsid w:val="00EB7D9D"/>
    <w:rsid w:val="00EC08E8"/>
    <w:rsid w:val="00F01E27"/>
    <w:rsid w:val="00F021C7"/>
    <w:rsid w:val="00F03F51"/>
    <w:rsid w:val="00F25817"/>
    <w:rsid w:val="00F32E74"/>
    <w:rsid w:val="00F97995"/>
    <w:rsid w:val="00FA0EF8"/>
    <w:rsid w:val="00FC1F35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5E"/>
    <w:rPr>
      <w:rFonts w:ascii="Calibri" w:eastAsia="Calibri" w:hAnsi="Calibri" w:cs="Calibri"/>
      <w:color w:val="000000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95E"/>
    <w:pPr>
      <w:spacing w:after="0" w:line="240" w:lineRule="auto"/>
    </w:pPr>
    <w:rPr>
      <w:rFonts w:ascii="Calibri" w:eastAsia="Calibri" w:hAnsi="Calibri" w:cs="Calibri"/>
      <w:color w:val="000000"/>
      <w:lang w:eastAsia="en-CA"/>
    </w:rPr>
  </w:style>
  <w:style w:type="character" w:styleId="Emphasis">
    <w:name w:val="Emphasis"/>
    <w:qFormat/>
    <w:rsid w:val="006C795E"/>
    <w:rPr>
      <w:i/>
      <w:iCs/>
    </w:rPr>
  </w:style>
  <w:style w:type="paragraph" w:styleId="ListParagraph">
    <w:name w:val="List Paragraph"/>
    <w:basedOn w:val="Normal"/>
    <w:uiPriority w:val="34"/>
    <w:qFormat/>
    <w:rsid w:val="00BF5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F7"/>
    <w:rPr>
      <w:rFonts w:ascii="Tahoma" w:eastAsia="Calibri" w:hAnsi="Tahoma" w:cs="Tahoma"/>
      <w:color w:val="000000"/>
      <w:sz w:val="16"/>
      <w:szCs w:val="16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5F3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B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E0"/>
    <w:rPr>
      <w:rFonts w:ascii="Calibri" w:eastAsia="Calibri" w:hAnsi="Calibri" w:cs="Calibri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B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E0"/>
    <w:rPr>
      <w:rFonts w:ascii="Calibri" w:eastAsia="Calibri" w:hAnsi="Calibri" w:cs="Calibri"/>
      <w:color w:val="00000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65</cp:revision>
  <cp:lastPrinted>2024-01-05T03:54:00Z</cp:lastPrinted>
  <dcterms:created xsi:type="dcterms:W3CDTF">2017-09-07T04:05:00Z</dcterms:created>
  <dcterms:modified xsi:type="dcterms:W3CDTF">2024-01-05T06:15:00Z</dcterms:modified>
</cp:coreProperties>
</file>